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118</w:t>
      </w:r>
    </w:p>
    <w:p>
      <w:r>
        <w:t>Bundesgericht (BGE), 2008-11-10, DE</w:t>
      </w:r>
    </w:p>
    <w:p>
      <w:r>
        <w:rPr>
          <w:b/>
        </w:rPr>
        <w:t xml:space="preserve">Quelle: </w:t>
      </w:r>
      <w:r>
        <w:t>https://mcp.opencaselaw.ch/entscheid/bge_137 III 118</w:t>
      </w:r>
    </w:p>
    <w:p>
      <w:r>
        <w:t>FR: ATF 137 III 118</w:t>
      </w:r>
    </w:p>
    <w:p>
      <w:r>
        <w:t>IT: DTF 137 III 118</w:t>
      </w:r>
    </w:p>
    <w:p>
      <w:pPr>
        <w:pStyle w:val="Heading2"/>
      </w:pPr>
      <w:r>
        <w:t>Regeste</w:t>
      </w:r>
    </w:p>
    <w:p>
      <w:r>
        <w:t>Regeste Bemessung des Kinderunterhalts (Art. 285 Abs. 1 ZGB); Berücksichtigung eines hypothetischen Einkommens des unterhaltspflichtigen Elternteils. Grundsätze für die Berücksichtigung eines hypothetischen Einkommens; Tat- und Rechtsfrage (E. 2.3). Insbesondere bei wirtschaftlich engen Verhältnissen sind an die Ausnützung der Erwerbskraft des unterhaltspflichtigen Elternteils besonders hohe Anforderungen zu stellen. Die für die Arbeitslosenversicherung geltenden Kriterien können nicht unbesehen übernommen werden. Es sind auch Erwerbsmöglichkeiten in Betracht zu ziehen, die keine abgeschlossene Berufsausbildung erfordern und sich im Tieflohnbereich befinden (E. 3.1). Anwendung dieser Grundsätze auf den konkreten Fall (E. 3.2).</w:t>
      </w:r>
    </w:p>
    <w:p>
      <w:pPr>
        <w:pStyle w:val="Heading2"/>
      </w:pPr>
      <w:r>
        <w:t>Erwägungen</w:t>
      </w:r>
    </w:p>
    <w:p>
      <w:r>
        <w:rPr>
          <w:b/>
        </w:rPr>
        <w:t>E. 2.1</w:t>
      </w:r>
    </w:p>
    <w:p>
      <w:r>
        <w:t>Wie dargelegt ist vorliegend nur noch die Regelung des Kinderunterhalts streitig. Demgegenüber ist das kantonsgerichtliche Urteil, soweit es um die Kinderzuteilung und den persönlichen Verkehr geht, rechtskräftig geworden.</w:t>
      </w:r>
    </w:p>
    <w:p>
      <w:r>
        <w:rPr>
          <w:b/>
        </w:rPr>
        <w:t>E. 2.2</w:t>
      </w:r>
    </w:p>
    <w:p>
      <w:r>
        <w:t>Gemäss den tatsächlichen und damit für das Bundesgericht verbindlichen Feststellungen des Kantonsgerichts hat die Beschwerdeführerin einen höheren Abschluss einer ausländischen Lehranstalt als Textilbetriebstechnikerin, der allerdings in der Schweiz nicht anerkannt ist. Sie ist seit der Geburt der Tochter nicht berufstätig und studiert seit zehn Jahren an verschiedenen Schulen ohne Prüfungserfolge, wobei sie das Studienende immer wieder hinausschiebt. Die Beschwerdeführerin kann auch kein Arbeitslosentaggeld mehr beziehen und ist bereits ausgesteuert. Sie lebt in bescheidenen Verhältnissen und benötigt für ihren Grundbedarf rund Fr. 2'400.- im Monat. Ihre wirtschaftlich gut gestellte Mutter finanziert den Lebensunterhalt. Das Kantonsgericht hat sodann in rechtlicher Hinsicht festgehalten, es sei der Beschwerdeführerin zuzumuten, einer Erwerbstätigkeit nachzugehen. Sie sei in der Lage, ein Erwerbseinkommen im Umfang von Fr. 3'600.- im Monat zu erzielen. Sei ihr dies nicht möglich, so könne sie eine Invalidenrente beantragen, welche ungefähr das gleiche Einkommen bringe. Der Beschwerdeführerin sei deshalb zuzumuten, einen Unterhaltsbeitrag von Fr. 850.- für die Tochter zu bezahlen.</w:t>
      </w:r>
    </w:p>
    <w:p>
      <w:r>
        <w:rPr>
          <w:b/>
        </w:rPr>
        <w:t>E. 2.3</w:t>
      </w:r>
    </w:p>
    <w:p>
      <w:r>
        <w:t>Der Elternteil, der nicht mit dem Kind zusammenlebt, hat nach Art. 285 Abs. 1 ZGB grundsätzlich einen Beitrag in Geld an den Unterhalt des Kindes zu leisten. Der Beitrag bemisst sich nach den Bedürfnissen des Kindes, der Lebenshaltung der Parteien und der Leistungskraft des Pflichtigen, und es sind die Einkünfte und das Vermögen des Kindes zu berücksichtigen ( BGE 135 III 66 E. 4 S. 70). Dabei ist grundsätzlich vom tatsächlich erzielten Einkommen des Unterhaltspflichtigen auszugehen. Soweit dieses Einkommen BGE 137 III 118 S. 121 allerdings nicht ausreicht, um den ausgewiesenen Bedarf zu decken, kann ein hypothetisches Einkommen angerechnet werden, sofern dieses zu erreichen zumutbar und möglich ist ( BGE 128 III 4 E. 4a S. 5; BGE 127 III 136 E. 2a S. 139). Dabei handelt es sich um zwei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126 III 10 E. 2b S. 13 oben; BGE 128 III 4 E. 4c/bb S. 7; Urteil 5A_388/2010 vom 29. September 2010 E. 1).</w:t>
      </w:r>
    </w:p>
    <w:p>
      <w:r>
        <w:rPr>
          <w:b/>
        </w:rPr>
        <w:t>E. 3.1</w:t>
      </w:r>
    </w:p>
    <w:p>
      <w:r>
        <w:t>Wie die Vorinstanz zu Recht erkannt hat, sind im Verhältnis zum unmündigen Kind besonders hohe Anforderungen an die Ausnützung der Erwerbskraft zu stellen (CYRIL HEGNAUER, Berner Kommentar, 1997, N. 58 i.V.m. N. 56 zu Art. 285 ZGB ). Dies gilt vorab in jenen Fällen, wo - wie hier - wirtschaftlich enge Verhältnisse vorliegen. Sodann können die im Zusammenhang mit der Arbeitslosenversicherung geltenden Kriterien nicht unbesehen übernommen werden. Namentlich ist die Tatsache, dass die Beschwerdeführerin arbeitslos war und trotz entsprechender Bemühungen keine Stelle fand, kein Beweis dafür, dass es ihr tatsächlich nicht möglich ist, eine Erwerbstätigkeit aufzunehmen. Sodann dürfen auch Erwerbsmöglichkeiten in Betracht gezogen werden, die keine abgeschlossene Berufsausbildung erfordern und sich im Tieflohnbereich befinden. Die Beschwerdeführerin hat mit Blick auf die nunmehr rechtskräftige Kinderzuteilung keine Betreuungsaufgaben wahrzunehmen und hatte offensichtlich bis anhin auch genügend Zeit, um dem Bedürfnis nach einer weiteren Ausbildung nachzugehen. In ihrer Beschwerde bezeichnet sie sich als gesund und uneingeschränkt arbeitsfähig. Um der Unterhaltspflicht gegenüber ihrer unmündigen Tochter nachzukommen, ist es der Beschwerdeführerin deshalb - wovon das Kantonsgericht zu Recht ausgegangen ist - grundsätzlich zuzumuten, einer Erwerbstätigkeit nachzugehen. BGE 137 III 118 S. 122</w:t>
      </w:r>
    </w:p>
    <w:p>
      <w:r>
        <w:rPr>
          <w:b/>
        </w:rPr>
        <w:t>E. 3.2</w:t>
      </w:r>
    </w:p>
    <w:p>
      <w:r>
        <w:t>Das Kantonsgericht äussert sich nicht konkret, welcher Erwerbstätigkeit die Beschwerdeführerin nachgehen könne. Es beschränkt sich auf die sinngemässe Aussage, bei Ausschöpfung ihrer Möglichkeiten könne die Beschwerdeführerin mit Einkünften von "wenigstens Fr. 3'500.-" rechnen (und bei einem Bedarf samt Berufsauslagen von nicht mehr als Fr. 2'600.- einen Beitrag von Fr. 850.- an den Unterhalt des Kindes leisten). Selbst wenn das Kantonsgericht damit eine Erwerbstätigkeit im Tieflohnbereich gemeint hat, d.h. eine Stelle, die keine abgeschlossene Berufsausbildung erfordert, wäre es gehalten gewesen, z.B. auf der Basis von Lohnstrukturerhebungen des Bundesamtes für Statistik oder anderen Quellen (allgemeinverbindliche Gesamtarbeitsverträge; MÜLHAUSER, Das Lohnbuch 2010, Mindestlöhne sowie orts- und berufsübliche Löhne in der Schweiz, Zürich 2010) konkret festzustellen, welche Tätigkeiten (z.B. Sekretariats- oder Kanzleiarbeiten, Verkauf von Konsumgütern, Dienstleistungen im Detailhandel, Reinigung, gastgewerbliche oder hauswirtschaftliche Tätigkeiten usw.) bzw. welche Stellen für die Beschwerdeführerin beim angenommenen Lohn tatsächlich möglich und der Beschwerdeführerin zumutbar sind. Soweit das Kantonsgericht der Beschwerdeführerin ohne die erforderlichen Feststellungen ein hypothetisches Einkommen angerechnet hat, erweist sich das angefochtene Urteil als bundesrechtswidrig; es ist aufzuheben und zur Ergänzung des Sachverhalts und neuem Entscheid zurückzuweisen. Bei diesem Ausgang des Verfahrens erübrigt es sich, näher auf die Rügen im Zusammenhang mit der Invalidenversicherung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